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8A" w:rsidRPr="00C00B8A" w:rsidRDefault="00C00B8A" w:rsidP="00C00B8A">
      <w:pPr>
        <w:shd w:val="clear" w:color="auto" w:fill="FFFFFF"/>
        <w:spacing w:line="336" w:lineRule="atLeast"/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</w:pPr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International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Federation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Gynecology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and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Obstetrics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(FIGO)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staging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cancer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cervix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>uteri</w:t>
      </w:r>
      <w:proofErr w:type="spellEnd"/>
      <w:r w:rsidRPr="00C00B8A">
        <w:rPr>
          <w:rFonts w:ascii="Verdana" w:eastAsia="Times New Roman" w:hAnsi="Verdana" w:cs="Helvetica"/>
          <w:b/>
          <w:bCs/>
          <w:sz w:val="24"/>
          <w:szCs w:val="24"/>
          <w:lang w:val="hr-HR" w:eastAsia="hr-HR"/>
        </w:rPr>
        <w:t xml:space="preserve"> (2018)</w:t>
      </w:r>
    </w:p>
    <w:tbl>
      <w:tblPr>
        <w:tblW w:w="5000" w:type="pct"/>
        <w:jc w:val="center"/>
        <w:tblBorders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31"/>
      </w:tblGrid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96" w:type="dxa"/>
              <w:left w:w="101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b/>
                <w:bCs/>
                <w:lang w:val="hr-HR" w:eastAsia="hr-HR"/>
              </w:rPr>
              <w:t>Stage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  <w:tcMar>
              <w:top w:w="96" w:type="dxa"/>
              <w:left w:w="101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b/>
                <w:bCs/>
                <w:lang w:val="hr-HR" w:eastAsia="hr-HR"/>
              </w:rPr>
              <w:t>Description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48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strictly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confined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cervix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uterine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corpus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should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disregarded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)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that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diagnosed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only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microscopy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maximum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depth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&lt;5 mm*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IA1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Measured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stromal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&lt;3 mm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depth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IA2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Measured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stromal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≥3 mm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&lt;5 mm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depth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measured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deepest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≥5 mm (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than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Stage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IA),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lesion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limited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cervix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uteri</w:t>
            </w:r>
            <w:proofErr w:type="spellEnd"/>
            <w:r w:rsidRPr="00C00B8A">
              <w:rPr>
                <w:rFonts w:ascii="Helvetica" w:eastAsia="Times New Roman" w:hAnsi="Helvetica" w:cs="Helvetica"/>
                <w:sz w:val="16"/>
                <w:szCs w:val="16"/>
                <w:vertAlign w:val="superscript"/>
                <w:lang w:val="hr-HR" w:eastAsia="hr-HR"/>
              </w:rPr>
              <w:t>¶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IB1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≥5 mm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depth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stromal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&lt;2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dimension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IB2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≥2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&lt;4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dimension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IB3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≥4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dimension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48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invades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beyond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uterus, but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has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extended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onto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lower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third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vagina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wall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Involvement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limited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upper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two-thirds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vagina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without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parametrial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involvement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IIA1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&lt;4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dimension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IIA2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Invasive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≥4 cm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greatest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dimension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parametrial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involvement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but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up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wall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48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lower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third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vagina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extends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wall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causes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hydronephrosis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nonfunctioning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kidney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para-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aortic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lymph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nodes</w:t>
            </w:r>
            <w:r w:rsidRPr="00C00B8A">
              <w:rPr>
                <w:rFonts w:ascii="Helvetica" w:eastAsia="Times New Roman" w:hAnsi="Helvetica" w:cs="Helvetica"/>
                <w:sz w:val="16"/>
                <w:szCs w:val="16"/>
                <w:vertAlign w:val="superscript"/>
                <w:lang w:val="hr-HR" w:eastAsia="hr-HR"/>
              </w:rPr>
              <w:t>Δ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IIIA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lower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third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vagina,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no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wall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IIIB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Extension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wall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hydronephrosis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nonfunctioning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kidney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unless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known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due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another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cause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)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IIIC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Involvement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/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para-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aortic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lymph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nodes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irrespective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tumor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size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with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r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p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notations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)</w:t>
            </w:r>
            <w:r w:rsidRPr="00C00B8A">
              <w:rPr>
                <w:rFonts w:ascii="Helvetica" w:eastAsia="Times New Roman" w:hAnsi="Helvetica" w:cs="Helvetica"/>
                <w:sz w:val="16"/>
                <w:szCs w:val="16"/>
                <w:vertAlign w:val="superscript"/>
                <w:lang w:val="hr-HR" w:eastAsia="hr-HR"/>
              </w:rPr>
              <w:t>Δ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IIIC1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lymph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node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metastasis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only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20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lastRenderedPageBreak/>
              <w:t>IIIC2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Para-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aortic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lymph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node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metastasis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48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IV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carcinoma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has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extended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beyond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true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has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involved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(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biopsy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proven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)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mucosa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of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bladder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rectum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. (A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bullous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edema, as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such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,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does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not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permit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a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case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be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allotted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Stage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IV.)</w:t>
            </w:r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IVA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Spread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adjacent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pelvic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organs</w:t>
            </w:r>
            <w:proofErr w:type="spellEnd"/>
          </w:p>
        </w:tc>
      </w:tr>
      <w:tr w:rsidR="00C00B8A" w:rsidRPr="00C00B8A" w:rsidTr="00C00B8A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840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IVB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CCCCC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B8A" w:rsidRPr="00C00B8A" w:rsidRDefault="00C00B8A" w:rsidP="00C00B8A">
            <w:pPr>
              <w:spacing w:after="0" w:line="360" w:lineRule="atLeast"/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</w:pP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Spread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to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distant</w:t>
            </w:r>
            <w:proofErr w:type="spellEnd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00B8A">
              <w:rPr>
                <w:rFonts w:ascii="Helvetica" w:eastAsia="Times New Roman" w:hAnsi="Helvetica" w:cs="Helvetica"/>
                <w:sz w:val="18"/>
                <w:szCs w:val="18"/>
                <w:lang w:val="hr-HR" w:eastAsia="hr-HR"/>
              </w:rPr>
              <w:t>organs</w:t>
            </w:r>
            <w:proofErr w:type="spellEnd"/>
          </w:p>
        </w:tc>
      </w:tr>
    </w:tbl>
    <w:p w:rsidR="00C00B8A" w:rsidRPr="00C00B8A" w:rsidRDefault="00C00B8A" w:rsidP="00C00B8A">
      <w:pPr>
        <w:shd w:val="clear" w:color="auto" w:fill="FFFFFF"/>
        <w:spacing w:after="0" w:line="360" w:lineRule="atLeast"/>
        <w:rPr>
          <w:rFonts w:ascii="Verdana" w:eastAsia="Times New Roman" w:hAnsi="Verdana" w:cs="Helvetica"/>
          <w:sz w:val="19"/>
          <w:szCs w:val="19"/>
          <w:lang w:val="hr-HR" w:eastAsia="hr-HR"/>
        </w:rPr>
      </w:pP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When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in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doubt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,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lower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staging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should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be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assigned</w:t>
      </w:r>
      <w:proofErr w:type="spellEnd"/>
      <w:r w:rsidRPr="00C00B8A">
        <w:rPr>
          <w:rFonts w:ascii="Verdana" w:eastAsia="Times New Roman" w:hAnsi="Verdana" w:cs="Helvetica"/>
          <w:sz w:val="19"/>
          <w:szCs w:val="19"/>
          <w:lang w:val="hr-HR" w:eastAsia="hr-HR"/>
        </w:rPr>
        <w:t>.</w:t>
      </w:r>
    </w:p>
    <w:p w:rsidR="00C00B8A" w:rsidRPr="00C00B8A" w:rsidRDefault="00C00B8A" w:rsidP="00C00B8A">
      <w:pPr>
        <w:shd w:val="clear" w:color="auto" w:fill="FFFFFF"/>
        <w:spacing w:line="360" w:lineRule="atLeast"/>
        <w:rPr>
          <w:rFonts w:ascii="Verdana" w:eastAsia="Times New Roman" w:hAnsi="Verdana" w:cs="Helvetica"/>
          <w:sz w:val="18"/>
          <w:szCs w:val="18"/>
          <w:lang w:val="hr-HR" w:eastAsia="hr-HR"/>
        </w:rPr>
      </w:pPr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*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Imaging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and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pathology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can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be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used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,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where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available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, to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supplement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clinical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findings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with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respect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to tumor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size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and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extent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,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in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all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stages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.</w:t>
      </w:r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br/>
        <w:t xml:space="preserve">¶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involvement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vascular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/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lymphatic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spaces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does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not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change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.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lateral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extent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lesion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no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longer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considered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.</w:t>
      </w:r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br/>
        <w:t xml:space="preserve">Δ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Adding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notation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r (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imaging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)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and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p (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pathology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) to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indicate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findings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that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are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used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to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allocate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case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to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IIIC.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Example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: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imaging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indicates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pelvic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lymph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node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metastasis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,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allocation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would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be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IIIC1r,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and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confirmed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by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pathologic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findings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,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it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would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be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Stage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IIIC1p.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The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type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of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imaging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modality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or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pathology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technique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used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should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always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be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 xml:space="preserve"> </w:t>
      </w:r>
      <w:proofErr w:type="spellStart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documented</w:t>
      </w:r>
      <w:proofErr w:type="spellEnd"/>
      <w:r w:rsidRPr="00C00B8A">
        <w:rPr>
          <w:rFonts w:ascii="Verdana" w:eastAsia="Times New Roman" w:hAnsi="Verdana" w:cs="Helvetica"/>
          <w:sz w:val="18"/>
          <w:szCs w:val="18"/>
          <w:lang w:val="hr-HR" w:eastAsia="hr-HR"/>
        </w:rPr>
        <w:t>.</w:t>
      </w:r>
    </w:p>
    <w:p w:rsidR="004F201F" w:rsidRDefault="004F201F">
      <w:bookmarkStart w:id="0" w:name="_GoBack"/>
      <w:bookmarkEnd w:id="0"/>
    </w:p>
    <w:sectPr w:rsidR="004F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A"/>
    <w:rsid w:val="004F201F"/>
    <w:rsid w:val="005F22B7"/>
    <w:rsid w:val="00C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4B37-8251-442D-AA6E-A3A99AB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5146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9966"/>
                                    <w:left w:val="none" w:sz="0" w:space="0" w:color="auto"/>
                                    <w:bottom w:val="single" w:sz="12" w:space="0" w:color="009966"/>
                                    <w:right w:val="none" w:sz="0" w:space="0" w:color="auto"/>
                                  </w:divBdr>
                                </w:div>
                                <w:div w:id="15835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 ANTE</dc:creator>
  <cp:keywords/>
  <dc:description/>
  <cp:lastModifiedBy>VUKOVIC ANTE</cp:lastModifiedBy>
  <cp:revision>1</cp:revision>
  <dcterms:created xsi:type="dcterms:W3CDTF">2019-05-05T14:12:00Z</dcterms:created>
  <dcterms:modified xsi:type="dcterms:W3CDTF">2019-05-05T16:33:00Z</dcterms:modified>
</cp:coreProperties>
</file>